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5F1" w:rsidRPr="007A2B21" w:rsidRDefault="002935F1" w:rsidP="00C72AB0">
      <w:pPr>
        <w:jc w:val="center"/>
        <w:rPr>
          <w:b/>
          <w:sz w:val="32"/>
          <w:szCs w:val="32"/>
          <w:u w:val="single"/>
        </w:rPr>
      </w:pPr>
      <w:r>
        <w:rPr>
          <w:b/>
          <w:sz w:val="32"/>
          <w:szCs w:val="32"/>
          <w:u w:val="single"/>
        </w:rPr>
        <w:t>US VENTURES/</w:t>
      </w:r>
      <w:r w:rsidRPr="007A2B21">
        <w:rPr>
          <w:b/>
          <w:sz w:val="32"/>
          <w:szCs w:val="32"/>
          <w:u w:val="single"/>
        </w:rPr>
        <w:t>WINSOME INVESTMENT TRUST</w:t>
      </w:r>
    </w:p>
    <w:p w:rsidR="002935F1" w:rsidRPr="00C94E41" w:rsidRDefault="002935F1" w:rsidP="00FC144F">
      <w:pPr>
        <w:widowControl w:val="0"/>
        <w:spacing w:line="240" w:lineRule="auto"/>
        <w:jc w:val="center"/>
        <w:rPr>
          <w:sz w:val="28"/>
          <w:szCs w:val="28"/>
        </w:rPr>
      </w:pPr>
      <w:r w:rsidRPr="00C94E41">
        <w:rPr>
          <w:b/>
          <w:sz w:val="28"/>
          <w:szCs w:val="28"/>
          <w:u w:val="single"/>
        </w:rPr>
        <w:t>INSTRUCTIONS FOR PROOF OF CLAIM FORM</w:t>
      </w:r>
    </w:p>
    <w:p w:rsidR="002935F1" w:rsidRDefault="002935F1" w:rsidP="003272CB">
      <w:pPr>
        <w:widowControl w:val="0"/>
        <w:ind w:firstLine="720"/>
      </w:pPr>
      <w:r>
        <w:t xml:space="preserve">The attached “Proof of Claim” Form has been approved by the United States District Court for the District Utah.  These instructions apply to that Proof of Claim Form.  This process is the exclusive method for investors and others to assert claims against any of the monies or assets of US Ventures, LC, Winsome Investment Trust, Robert Holloway, or Robert Andres which have been or should be delivered to Wayne Klein, the Court-appointed Receiver (“Receiver”).  Persons who invested in US Ventures or Winsome or have other claims against the assets of US Ventures, Winsome, Holloway, or Andres may complete the Proof of Claim Form and submit it to the Receiver before the deadline.  </w:t>
      </w:r>
    </w:p>
    <w:p w:rsidR="002935F1" w:rsidRDefault="002935F1" w:rsidP="003272CB">
      <w:pPr>
        <w:widowControl w:val="0"/>
        <w:ind w:firstLine="720"/>
      </w:pPr>
      <w:r>
        <w:t>The following instructions apply to this Proof of Claim Form.  These instructions should be read in conjunction with the Court-approved “Guidelines Applicable to Claims Review.”</w:t>
      </w:r>
    </w:p>
    <w:p w:rsidR="002935F1" w:rsidRDefault="002935F1" w:rsidP="00C72AB0">
      <w:pPr>
        <w:pStyle w:val="ListParagraph"/>
        <w:widowControl w:val="0"/>
        <w:numPr>
          <w:ilvl w:val="0"/>
          <w:numId w:val="1"/>
        </w:numPr>
        <w:ind w:left="0" w:firstLine="720"/>
        <w:contextualSpacing w:val="0"/>
      </w:pPr>
      <w:r w:rsidRPr="00A13B75">
        <w:rPr>
          <w:b/>
          <w:u w:val="single"/>
        </w:rPr>
        <w:t>Documents</w:t>
      </w:r>
      <w:r>
        <w:t xml:space="preserve">.   The Receiver will make an initial evaluation of the Claim based on records deemed to be reliable.  Investors are strongly encouraged to submit copies of documents establishing that funds were sent to US Ventures or Winsome in order to establish the amount invested.  Copies of bank documents will be the most persuasive means of demonstrating how much money was invested.  </w:t>
      </w:r>
      <w:r>
        <w:rPr>
          <w:i/>
        </w:rPr>
        <w:t>Note: because investment account statements sent to investors did not reflect actual profits earned by the companies, copies of account statements received from US Ventures or Winsome might not be deemed reliable evidence of monies invested.</w:t>
      </w:r>
      <w:r>
        <w:t xml:space="preserve">  In the event the documents submitted by investors show different results than bank records reconstructed by the Receiver, the Receiver will base his recommendation to the Court on the records deemed most reliable.</w:t>
      </w:r>
    </w:p>
    <w:p w:rsidR="002935F1" w:rsidRDefault="002935F1" w:rsidP="00C72AB0">
      <w:pPr>
        <w:pStyle w:val="ListParagraph"/>
        <w:widowControl w:val="0"/>
        <w:numPr>
          <w:ilvl w:val="0"/>
          <w:numId w:val="1"/>
        </w:numPr>
        <w:ind w:left="0" w:firstLine="720"/>
        <w:contextualSpacing w:val="0"/>
      </w:pPr>
      <w:r w:rsidRPr="00C72AB0">
        <w:rPr>
          <w:b/>
          <w:u w:val="single"/>
        </w:rPr>
        <w:t xml:space="preserve">Signed </w:t>
      </w:r>
      <w:r>
        <w:rPr>
          <w:b/>
          <w:u w:val="single"/>
        </w:rPr>
        <w:t>u</w:t>
      </w:r>
      <w:r w:rsidRPr="00C72AB0">
        <w:rPr>
          <w:b/>
          <w:u w:val="single"/>
        </w:rPr>
        <w:t xml:space="preserve">nder </w:t>
      </w:r>
      <w:r>
        <w:rPr>
          <w:b/>
          <w:u w:val="single"/>
        </w:rPr>
        <w:t>o</w:t>
      </w:r>
      <w:r w:rsidRPr="00C72AB0">
        <w:rPr>
          <w:b/>
          <w:u w:val="single"/>
        </w:rPr>
        <w:t>ath</w:t>
      </w:r>
      <w:r>
        <w:t>.   The Proof of Claim Form must be signed under penalty of perjury.  If the amount of a Claim is based on false or misleading information, the Receiver may recommend that the entire Claim be denied.  Proof of Claim Forms that have signs of fraudulent intent may be referred to criminal prosecutors.</w:t>
      </w:r>
    </w:p>
    <w:p w:rsidR="002935F1" w:rsidRDefault="002935F1" w:rsidP="00C72AB0">
      <w:pPr>
        <w:pStyle w:val="ListParagraph"/>
        <w:widowControl w:val="0"/>
        <w:numPr>
          <w:ilvl w:val="0"/>
          <w:numId w:val="1"/>
        </w:numPr>
        <w:ind w:left="0" w:firstLine="720"/>
        <w:contextualSpacing w:val="0"/>
      </w:pPr>
      <w:r w:rsidRPr="00C72AB0">
        <w:rPr>
          <w:b/>
          <w:u w:val="single"/>
        </w:rPr>
        <w:t>Confidentiality</w:t>
      </w:r>
      <w:r>
        <w:t>.   The Receiver will maintain the confidentiality of personal information submitted by Claimants by assigning a Claim number to each Claim.  Public filings by the Receiver will refer to Claims by Claim number.  It is possible, however, that some information submitted by Claimants will be needed for future court proceedings by the Receiver, the CFTC, or criminal prosecutors.  In those instances, confidential personal information will be removed from the documents before the documents are filed with a court.</w:t>
      </w:r>
    </w:p>
    <w:p w:rsidR="002935F1" w:rsidRDefault="002935F1" w:rsidP="009A2C64">
      <w:pPr>
        <w:pStyle w:val="ListParagraph"/>
        <w:widowControl w:val="0"/>
        <w:numPr>
          <w:ilvl w:val="0"/>
          <w:numId w:val="1"/>
        </w:numPr>
        <w:ind w:left="0" w:firstLine="720"/>
        <w:contextualSpacing w:val="0"/>
      </w:pPr>
      <w:r w:rsidRPr="009A2C64">
        <w:rPr>
          <w:b/>
          <w:u w:val="single"/>
        </w:rPr>
        <w:t>Classes of Claims</w:t>
      </w:r>
      <w:r>
        <w:t>.   After evaluation of the Claims, the Receiver may recommend to the Court that Claims be divided into more than one class, with higher percentages of Claims being paid to certain classes.  Claims that may be assigned to classes receiving lower percentages of (or no) recovery might include Claims for non-investment business dealings with the Receivership Entities, Claims by family members or business associates, Claims by persons who may have had knowledge of the true financial condition of the Receivership Entities, Claims by persons who were marketers or received compensation for soliciting other investors, or who otherwise may not have acted in complete good faith, Claims based on goods or services that were provided to Receivership Entities, and Claims containing false or misleading information (such as Claims that fail to acknowledge receipt of distributions).</w:t>
      </w:r>
    </w:p>
    <w:p w:rsidR="002935F1" w:rsidRDefault="002935F1" w:rsidP="009A2C64">
      <w:pPr>
        <w:pStyle w:val="ListParagraph"/>
        <w:widowControl w:val="0"/>
        <w:numPr>
          <w:ilvl w:val="0"/>
          <w:numId w:val="1"/>
        </w:numPr>
        <w:ind w:left="0" w:firstLine="720"/>
        <w:contextualSpacing w:val="0"/>
      </w:pPr>
      <w:r>
        <w:rPr>
          <w:b/>
          <w:u w:val="single"/>
        </w:rPr>
        <w:t>Guidelines</w:t>
      </w:r>
      <w:r>
        <w:t>.   The Claims will be evaluated according to the Guidelines Applicable to Claim Review, which have been approved by the Court</w:t>
      </w:r>
    </w:p>
    <w:p w:rsidR="002935F1" w:rsidRDefault="002935F1" w:rsidP="003272CB">
      <w:pPr>
        <w:pStyle w:val="ListParagraph"/>
        <w:widowControl w:val="0"/>
        <w:numPr>
          <w:ilvl w:val="0"/>
          <w:numId w:val="1"/>
        </w:numPr>
        <w:ind w:left="0" w:firstLine="720"/>
        <w:contextualSpacing w:val="0"/>
      </w:pPr>
      <w:r w:rsidRPr="003272CB">
        <w:rPr>
          <w:b/>
          <w:u w:val="single"/>
        </w:rPr>
        <w:t xml:space="preserve">Submission </w:t>
      </w:r>
      <w:r>
        <w:rPr>
          <w:b/>
          <w:u w:val="single"/>
        </w:rPr>
        <w:t>d</w:t>
      </w:r>
      <w:r w:rsidRPr="003272CB">
        <w:rPr>
          <w:b/>
          <w:u w:val="single"/>
        </w:rPr>
        <w:t>eadline</w:t>
      </w:r>
      <w:r>
        <w:t xml:space="preserve">.   The Proof of Claim Form must be mailed to the Receiver and delivered or postmarked by </w:t>
      </w:r>
      <w:r>
        <w:rPr>
          <w:b/>
        </w:rPr>
        <w:t>July 31</w:t>
      </w:r>
      <w:r w:rsidRPr="003272CB">
        <w:rPr>
          <w:b/>
        </w:rPr>
        <w:t>, 201</w:t>
      </w:r>
      <w:r>
        <w:rPr>
          <w:b/>
        </w:rPr>
        <w:t>2</w:t>
      </w:r>
      <w:r>
        <w:t xml:space="preserve">.  Claims postmarked or delivered after that date may be denied.  If you are aware of other Claimants, please encourage them to obtain copies of the Proof of Claim Form and submit Claims before the deadline.  Copies of this Proof of Claim Form are available on the Receiver’s website at </w:t>
      </w:r>
      <w:hyperlink r:id="rId5" w:history="1">
        <w:r w:rsidRPr="003C3BC7">
          <w:rPr>
            <w:rStyle w:val="Hyperlink"/>
          </w:rPr>
          <w:t>www.kleinutah.com</w:t>
        </w:r>
      </w:hyperlink>
      <w:r>
        <w:t xml:space="preserve">.  Proof of Claim Forms and documentation supporting the Claim should be mailed, instead of being sent electronically.  </w:t>
      </w:r>
      <w:r w:rsidRPr="003272CB">
        <w:rPr>
          <w:i/>
          <w:u w:val="single"/>
        </w:rPr>
        <w:t>Claim forms should NOT be sent to the court</w:t>
      </w:r>
      <w:r w:rsidRPr="003272CB">
        <w:rPr>
          <w:i/>
        </w:rPr>
        <w:t>.</w:t>
      </w:r>
      <w:r>
        <w:t xml:space="preserve"> </w:t>
      </w:r>
    </w:p>
    <w:p w:rsidR="002935F1" w:rsidRDefault="002935F1" w:rsidP="003272CB">
      <w:pPr>
        <w:pStyle w:val="ListParagraph"/>
        <w:widowControl w:val="0"/>
        <w:numPr>
          <w:ilvl w:val="0"/>
          <w:numId w:val="1"/>
        </w:numPr>
        <w:ind w:left="0" w:firstLine="720"/>
        <w:contextualSpacing w:val="0"/>
      </w:pPr>
      <w:r w:rsidRPr="003272CB">
        <w:rPr>
          <w:b/>
          <w:u w:val="single"/>
        </w:rPr>
        <w:t xml:space="preserve">Keep a </w:t>
      </w:r>
      <w:r>
        <w:rPr>
          <w:b/>
          <w:u w:val="single"/>
        </w:rPr>
        <w:t>c</w:t>
      </w:r>
      <w:r w:rsidRPr="003272CB">
        <w:rPr>
          <w:b/>
          <w:u w:val="single"/>
        </w:rPr>
        <w:t>opy</w:t>
      </w:r>
      <w:r>
        <w:t>!   Claimants should keep a copy of the Proof of Claim Form and supporting documentation.  Claimants should keep their original copies of supporting documents and send photocopies to the Receiver.  The Receiver will contact you if he needs the original documents.</w:t>
      </w:r>
    </w:p>
    <w:p w:rsidR="002935F1" w:rsidRDefault="002935F1" w:rsidP="003272CB">
      <w:pPr>
        <w:pStyle w:val="ListParagraph"/>
        <w:widowControl w:val="0"/>
        <w:numPr>
          <w:ilvl w:val="0"/>
          <w:numId w:val="1"/>
        </w:numPr>
        <w:ind w:left="0" w:firstLine="720"/>
        <w:contextualSpacing w:val="0"/>
      </w:pPr>
      <w:r w:rsidRPr="003272CB">
        <w:rPr>
          <w:b/>
          <w:u w:val="single"/>
        </w:rPr>
        <w:t>Steps in the Claim Review Process</w:t>
      </w:r>
      <w:r>
        <w:t xml:space="preserve">.   </w:t>
      </w:r>
    </w:p>
    <w:p w:rsidR="002935F1" w:rsidRDefault="002935F1" w:rsidP="003272CB">
      <w:pPr>
        <w:pStyle w:val="ListParagraph"/>
        <w:widowControl w:val="0"/>
        <w:numPr>
          <w:ilvl w:val="1"/>
          <w:numId w:val="1"/>
        </w:numPr>
        <w:ind w:left="720" w:firstLine="720"/>
        <w:contextualSpacing w:val="0"/>
      </w:pPr>
      <w:r>
        <w:t xml:space="preserve">Proof of Claim Forms will be reviewed for completeness when received.  If required information (such as a signature) is missing, the Claimant will be contacted and given an opportunity to submit the missing information within ten days.  </w:t>
      </w:r>
    </w:p>
    <w:p w:rsidR="002935F1" w:rsidRDefault="002935F1" w:rsidP="003272CB">
      <w:pPr>
        <w:pStyle w:val="ListParagraph"/>
        <w:widowControl w:val="0"/>
        <w:numPr>
          <w:ilvl w:val="1"/>
          <w:numId w:val="1"/>
        </w:numPr>
        <w:ind w:left="720" w:firstLine="720"/>
        <w:contextualSpacing w:val="0"/>
      </w:pPr>
      <w:r>
        <w:t>The Receiver will determine the validity of the amount of the Claim by reviewing the Proof of Claim Form and supporting documentation and by comparing the Claim with the financial records reconstructed by the Receiver.  If the records do not match, the Receiver will make his recommendations based on records he deems most accurate – whether from the Claimant or from the Receiver’s analysis.</w:t>
      </w:r>
    </w:p>
    <w:p w:rsidR="002935F1" w:rsidRDefault="002935F1" w:rsidP="003272CB">
      <w:pPr>
        <w:pStyle w:val="ListParagraph"/>
        <w:widowControl w:val="0"/>
        <w:numPr>
          <w:ilvl w:val="1"/>
          <w:numId w:val="1"/>
        </w:numPr>
        <w:ind w:left="720" w:firstLine="720"/>
        <w:contextualSpacing w:val="0"/>
      </w:pPr>
      <w:r>
        <w:t xml:space="preserve">The Receiver will make a determination of the Preliminary Allowable Claim Amount.  </w:t>
      </w:r>
      <w:r w:rsidRPr="003272CB">
        <w:rPr>
          <w:i/>
        </w:rPr>
        <w:t xml:space="preserve">Note: This is the amount that the </w:t>
      </w:r>
      <w:r>
        <w:rPr>
          <w:i/>
        </w:rPr>
        <w:t>Claimant</w:t>
      </w:r>
      <w:r w:rsidRPr="003272CB">
        <w:rPr>
          <w:i/>
        </w:rPr>
        <w:t xml:space="preserve"> can validly claim against the amount of assets recovered by the Receiver.  It does </w:t>
      </w:r>
      <w:r w:rsidRPr="003272CB">
        <w:rPr>
          <w:b/>
          <w:i/>
        </w:rPr>
        <w:t>not</w:t>
      </w:r>
      <w:r w:rsidRPr="003272CB">
        <w:rPr>
          <w:i/>
        </w:rPr>
        <w:t xml:space="preserve"> mean that that amount will be available for payment.  The amount actually paid to </w:t>
      </w:r>
      <w:r>
        <w:rPr>
          <w:i/>
        </w:rPr>
        <w:t>Claimant</w:t>
      </w:r>
      <w:r w:rsidRPr="003272CB">
        <w:rPr>
          <w:i/>
        </w:rPr>
        <w:t xml:space="preserve">s is expected to be a small percentage of the amount of allowable </w:t>
      </w:r>
      <w:r>
        <w:rPr>
          <w:i/>
        </w:rPr>
        <w:t>Claim</w:t>
      </w:r>
      <w:r w:rsidRPr="003272CB">
        <w:rPr>
          <w:i/>
        </w:rPr>
        <w:t xml:space="preserve">s because we anticipate that there will be valid </w:t>
      </w:r>
      <w:r>
        <w:rPr>
          <w:i/>
        </w:rPr>
        <w:t>Claim</w:t>
      </w:r>
      <w:r w:rsidRPr="003272CB">
        <w:rPr>
          <w:i/>
        </w:rPr>
        <w:t xml:space="preserve">s for </w:t>
      </w:r>
      <w:r>
        <w:rPr>
          <w:i/>
        </w:rPr>
        <w:t xml:space="preserve">substantially </w:t>
      </w:r>
      <w:r w:rsidRPr="003272CB">
        <w:rPr>
          <w:i/>
        </w:rPr>
        <w:t>more money than will be recovered</w:t>
      </w:r>
      <w:r>
        <w:t xml:space="preserve">.  </w:t>
      </w:r>
    </w:p>
    <w:p w:rsidR="002935F1" w:rsidRDefault="002935F1" w:rsidP="003272CB">
      <w:pPr>
        <w:pStyle w:val="ListParagraph"/>
        <w:widowControl w:val="0"/>
        <w:numPr>
          <w:ilvl w:val="1"/>
          <w:numId w:val="1"/>
        </w:numPr>
        <w:ind w:left="720" w:firstLine="720"/>
        <w:contextualSpacing w:val="0"/>
      </w:pPr>
      <w:r>
        <w:t>Claimants will be notified of the Receiver’s determination of their Preliminary Allowable Claim Amount.  Claimants who disagree with the Receiver’s determination of the preliminary allowable Claim amount will have thirty (30) days to provide additional documentation to support the amount of their Claim or to persuade the Receiver that his preliminary determination should be modified.</w:t>
      </w:r>
    </w:p>
    <w:p w:rsidR="002935F1" w:rsidRDefault="002935F1" w:rsidP="003272CB">
      <w:pPr>
        <w:pStyle w:val="ListParagraph"/>
        <w:widowControl w:val="0"/>
        <w:numPr>
          <w:ilvl w:val="1"/>
          <w:numId w:val="1"/>
        </w:numPr>
        <w:ind w:left="720" w:firstLine="720"/>
        <w:contextualSpacing w:val="0"/>
      </w:pPr>
      <w:r>
        <w:t xml:space="preserve">The Receiver will file with the Court his recommendations of the Allowable Claim Amount for each Claimant.  </w:t>
      </w:r>
    </w:p>
    <w:p w:rsidR="002935F1" w:rsidRDefault="002935F1" w:rsidP="003272CB">
      <w:pPr>
        <w:pStyle w:val="ListParagraph"/>
        <w:widowControl w:val="0"/>
        <w:numPr>
          <w:ilvl w:val="1"/>
          <w:numId w:val="1"/>
        </w:numPr>
        <w:ind w:left="720" w:firstLine="720"/>
        <w:contextualSpacing w:val="0"/>
      </w:pPr>
      <w:r>
        <w:t>Claimants who disagree with the recommendation that the Receiver files with the Court will have thirty (30) days from the time the Receiver’s recommendations are filed to send to the Court an objection to the Receiver’s recommendation.</w:t>
      </w:r>
    </w:p>
    <w:p w:rsidR="002935F1" w:rsidRDefault="002935F1" w:rsidP="003272CB">
      <w:pPr>
        <w:pStyle w:val="ListParagraph"/>
        <w:widowControl w:val="0"/>
        <w:numPr>
          <w:ilvl w:val="1"/>
          <w:numId w:val="1"/>
        </w:numPr>
        <w:ind w:left="720" w:firstLine="720"/>
        <w:contextualSpacing w:val="0"/>
      </w:pPr>
      <w:r>
        <w:t>The Court will establish a process for evaluating and ruling on the objections.</w:t>
      </w:r>
    </w:p>
    <w:p w:rsidR="002935F1" w:rsidRDefault="002935F1" w:rsidP="003272CB">
      <w:pPr>
        <w:pStyle w:val="ListParagraph"/>
        <w:widowControl w:val="0"/>
        <w:numPr>
          <w:ilvl w:val="1"/>
          <w:numId w:val="1"/>
        </w:numPr>
        <w:ind w:left="720" w:firstLine="720"/>
        <w:contextualSpacing w:val="0"/>
      </w:pPr>
      <w:r>
        <w:t>When the Court has ruled on the objections, the list of allowable Claim amounts will be deemed final.</w:t>
      </w:r>
    </w:p>
    <w:p w:rsidR="002935F1" w:rsidRDefault="002935F1" w:rsidP="003272CB">
      <w:pPr>
        <w:pStyle w:val="ListParagraph"/>
        <w:widowControl w:val="0"/>
        <w:numPr>
          <w:ilvl w:val="1"/>
          <w:numId w:val="1"/>
        </w:numPr>
        <w:ind w:left="720" w:firstLine="720"/>
        <w:contextualSpacing w:val="0"/>
      </w:pPr>
      <w:r>
        <w:t>Distribution of funds recovered on behalf of US Ventures and Winsome will be made on a pro-rata basis based on the final allowable Claim amounts.  It is expected that distributions will be made on a periodic basis, as funds are recovered.</w:t>
      </w:r>
    </w:p>
    <w:p w:rsidR="002935F1" w:rsidRDefault="002935F1" w:rsidP="00FC144F">
      <w:pPr>
        <w:pStyle w:val="ListParagraph"/>
        <w:widowControl w:val="0"/>
        <w:numPr>
          <w:ilvl w:val="0"/>
          <w:numId w:val="1"/>
        </w:numPr>
      </w:pPr>
      <w:r w:rsidRPr="00CE4333">
        <w:rPr>
          <w:b/>
          <w:u w:val="single"/>
        </w:rPr>
        <w:t>Timetable</w:t>
      </w:r>
      <w:r>
        <w:t>.   The following is the expected timetable for determining allowable Claims: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8"/>
        <w:gridCol w:w="7308"/>
      </w:tblGrid>
      <w:tr w:rsidR="002935F1" w:rsidRPr="007F3DAF" w:rsidTr="007F3DAF">
        <w:tc>
          <w:tcPr>
            <w:tcW w:w="2268" w:type="dxa"/>
          </w:tcPr>
          <w:p w:rsidR="002935F1" w:rsidRPr="007F3DAF" w:rsidRDefault="002935F1" w:rsidP="007F3DAF">
            <w:pPr>
              <w:widowControl w:val="0"/>
              <w:spacing w:after="0" w:line="240" w:lineRule="auto"/>
              <w:rPr>
                <w:b/>
              </w:rPr>
            </w:pPr>
            <w:r w:rsidRPr="007F3DAF">
              <w:rPr>
                <w:b/>
              </w:rPr>
              <w:t>Date</w:t>
            </w:r>
          </w:p>
        </w:tc>
        <w:tc>
          <w:tcPr>
            <w:tcW w:w="7308" w:type="dxa"/>
          </w:tcPr>
          <w:p w:rsidR="002935F1" w:rsidRPr="007F3DAF" w:rsidRDefault="002935F1" w:rsidP="007F3DAF">
            <w:pPr>
              <w:widowControl w:val="0"/>
              <w:spacing w:after="0" w:line="240" w:lineRule="auto"/>
              <w:rPr>
                <w:b/>
              </w:rPr>
            </w:pPr>
            <w:r w:rsidRPr="007F3DAF">
              <w:rPr>
                <w:b/>
              </w:rPr>
              <w:t>Event</w:t>
            </w:r>
          </w:p>
        </w:tc>
      </w:tr>
      <w:tr w:rsidR="002935F1" w:rsidRPr="007F3DAF" w:rsidTr="007F3DAF">
        <w:tc>
          <w:tcPr>
            <w:tcW w:w="2268" w:type="dxa"/>
          </w:tcPr>
          <w:p w:rsidR="002935F1" w:rsidRPr="007F3DAF" w:rsidRDefault="002935F1" w:rsidP="007F3DAF">
            <w:pPr>
              <w:widowControl w:val="0"/>
              <w:spacing w:after="0" w:line="240" w:lineRule="auto"/>
            </w:pPr>
            <w:r w:rsidRPr="007F3DAF">
              <w:rPr>
                <w:b/>
              </w:rPr>
              <w:t>July 31, 2012</w:t>
            </w:r>
          </w:p>
        </w:tc>
        <w:tc>
          <w:tcPr>
            <w:tcW w:w="7308" w:type="dxa"/>
          </w:tcPr>
          <w:p w:rsidR="002935F1" w:rsidRPr="007F3DAF" w:rsidRDefault="002935F1" w:rsidP="007F3DAF">
            <w:pPr>
              <w:widowControl w:val="0"/>
              <w:spacing w:after="0" w:line="240" w:lineRule="auto"/>
            </w:pPr>
            <w:r w:rsidRPr="007F3DAF">
              <w:t>Deadline for submission of Proof of Claim Forms.</w:t>
            </w:r>
          </w:p>
        </w:tc>
      </w:tr>
      <w:tr w:rsidR="002935F1" w:rsidRPr="007F3DAF" w:rsidTr="007F3DAF">
        <w:tc>
          <w:tcPr>
            <w:tcW w:w="2268" w:type="dxa"/>
          </w:tcPr>
          <w:p w:rsidR="002935F1" w:rsidRPr="007F3DAF" w:rsidRDefault="002935F1" w:rsidP="007F3DAF">
            <w:pPr>
              <w:widowControl w:val="0"/>
              <w:spacing w:after="0" w:line="240" w:lineRule="auto"/>
            </w:pPr>
            <w:r w:rsidRPr="007F3DAF">
              <w:rPr>
                <w:b/>
              </w:rPr>
              <w:t>September 30, 2012</w:t>
            </w:r>
          </w:p>
        </w:tc>
        <w:tc>
          <w:tcPr>
            <w:tcW w:w="7308" w:type="dxa"/>
          </w:tcPr>
          <w:p w:rsidR="002935F1" w:rsidRPr="007F3DAF" w:rsidRDefault="002935F1" w:rsidP="007F3DAF">
            <w:pPr>
              <w:widowControl w:val="0"/>
              <w:spacing w:after="0" w:line="240" w:lineRule="auto"/>
            </w:pPr>
            <w:r w:rsidRPr="007F3DAF">
              <w:t>Receiver will complete his initial review of Claim forms and will send notice of Preliminary Allowable Claim Amounts.</w:t>
            </w:r>
          </w:p>
        </w:tc>
      </w:tr>
      <w:tr w:rsidR="002935F1" w:rsidRPr="007F3DAF" w:rsidTr="007F3DAF">
        <w:tc>
          <w:tcPr>
            <w:tcW w:w="2268" w:type="dxa"/>
          </w:tcPr>
          <w:p w:rsidR="002935F1" w:rsidRPr="007F3DAF" w:rsidRDefault="002935F1" w:rsidP="007F3DAF">
            <w:pPr>
              <w:widowControl w:val="0"/>
              <w:spacing w:after="0" w:line="240" w:lineRule="auto"/>
            </w:pPr>
            <w:r w:rsidRPr="007F3DAF">
              <w:rPr>
                <w:b/>
              </w:rPr>
              <w:t>October 31, 2012</w:t>
            </w:r>
          </w:p>
        </w:tc>
        <w:tc>
          <w:tcPr>
            <w:tcW w:w="7308" w:type="dxa"/>
          </w:tcPr>
          <w:p w:rsidR="002935F1" w:rsidRPr="007F3DAF" w:rsidRDefault="002935F1" w:rsidP="007F3DAF">
            <w:pPr>
              <w:widowControl w:val="0"/>
              <w:spacing w:after="0" w:line="240" w:lineRule="auto"/>
            </w:pPr>
            <w:r w:rsidRPr="007F3DAF">
              <w:t>Deadline for submission of any additional information by Claimants disagreeing with the Preliminary Allowable Claim determination and requesting additional review.</w:t>
            </w:r>
          </w:p>
        </w:tc>
      </w:tr>
      <w:tr w:rsidR="002935F1" w:rsidRPr="007F3DAF" w:rsidTr="007F3DAF">
        <w:tc>
          <w:tcPr>
            <w:tcW w:w="2268" w:type="dxa"/>
          </w:tcPr>
          <w:p w:rsidR="002935F1" w:rsidRPr="007F3DAF" w:rsidRDefault="002935F1" w:rsidP="007F3DAF">
            <w:pPr>
              <w:widowControl w:val="0"/>
              <w:spacing w:after="0" w:line="240" w:lineRule="auto"/>
            </w:pPr>
            <w:r w:rsidRPr="007F3DAF">
              <w:rPr>
                <w:b/>
              </w:rPr>
              <w:t>November 30, 2012</w:t>
            </w:r>
          </w:p>
        </w:tc>
        <w:tc>
          <w:tcPr>
            <w:tcW w:w="7308" w:type="dxa"/>
          </w:tcPr>
          <w:p w:rsidR="002935F1" w:rsidRPr="007F3DAF" w:rsidRDefault="002935F1" w:rsidP="007F3DAF">
            <w:pPr>
              <w:widowControl w:val="0"/>
              <w:spacing w:after="0" w:line="240" w:lineRule="auto"/>
            </w:pPr>
            <w:r w:rsidRPr="007F3DAF">
              <w:t>Receiver will file a report with the Court listing his recommendations for Allowable Claim Amounts.  This report will also be sent to all Claimants.</w:t>
            </w:r>
          </w:p>
        </w:tc>
      </w:tr>
      <w:tr w:rsidR="002935F1" w:rsidRPr="007F3DAF" w:rsidTr="007F3DAF">
        <w:tc>
          <w:tcPr>
            <w:tcW w:w="2268" w:type="dxa"/>
          </w:tcPr>
          <w:p w:rsidR="002935F1" w:rsidRPr="007F3DAF" w:rsidRDefault="002935F1" w:rsidP="007F3DAF">
            <w:pPr>
              <w:widowControl w:val="0"/>
              <w:spacing w:after="0" w:line="240" w:lineRule="auto"/>
            </w:pPr>
            <w:r w:rsidRPr="007F3DAF">
              <w:rPr>
                <w:b/>
              </w:rPr>
              <w:t>December 31, 2012</w:t>
            </w:r>
          </w:p>
        </w:tc>
        <w:tc>
          <w:tcPr>
            <w:tcW w:w="7308" w:type="dxa"/>
          </w:tcPr>
          <w:p w:rsidR="002935F1" w:rsidRPr="007F3DAF" w:rsidRDefault="002935F1" w:rsidP="007F3DAF">
            <w:pPr>
              <w:widowControl w:val="0"/>
              <w:spacing w:after="0" w:line="240" w:lineRule="auto"/>
            </w:pPr>
            <w:r w:rsidRPr="007F3DAF">
              <w:t>Deadline for Claimants to file with the Court any objections to the Receiver’s recommendation of allowable Claims.</w:t>
            </w:r>
          </w:p>
        </w:tc>
      </w:tr>
      <w:tr w:rsidR="002935F1" w:rsidRPr="007F3DAF" w:rsidTr="007F3DAF">
        <w:tc>
          <w:tcPr>
            <w:tcW w:w="2268" w:type="dxa"/>
          </w:tcPr>
          <w:p w:rsidR="002935F1" w:rsidRPr="007F3DAF" w:rsidRDefault="002935F1" w:rsidP="007F3DAF">
            <w:pPr>
              <w:widowControl w:val="0"/>
              <w:spacing w:after="0" w:line="240" w:lineRule="auto"/>
            </w:pPr>
            <w:r w:rsidRPr="007F3DAF">
              <w:rPr>
                <w:b/>
              </w:rPr>
              <w:t>March 31, 2013</w:t>
            </w:r>
          </w:p>
        </w:tc>
        <w:tc>
          <w:tcPr>
            <w:tcW w:w="7308" w:type="dxa"/>
          </w:tcPr>
          <w:p w:rsidR="002935F1" w:rsidRPr="007F3DAF" w:rsidRDefault="002935F1" w:rsidP="007F3DAF">
            <w:pPr>
              <w:widowControl w:val="0"/>
              <w:spacing w:after="0" w:line="240" w:lineRule="auto"/>
            </w:pPr>
            <w:r w:rsidRPr="007F3DAF">
              <w:t>Goal for completion of the Court’s review of objections, creation of a final list of allowable Claims, and Court approval of a distribution plan.  Distributions of funds can begin.</w:t>
            </w:r>
          </w:p>
        </w:tc>
      </w:tr>
    </w:tbl>
    <w:p w:rsidR="002935F1" w:rsidRDefault="002935F1" w:rsidP="00FC144F">
      <w:pPr>
        <w:widowControl w:val="0"/>
        <w:spacing w:after="0"/>
      </w:pPr>
    </w:p>
    <w:p w:rsidR="002935F1" w:rsidRPr="00FC144F" w:rsidRDefault="002935F1" w:rsidP="00FC144F">
      <w:pPr>
        <w:widowControl w:val="0"/>
        <w:spacing w:after="0" w:line="240" w:lineRule="auto"/>
        <w:rPr>
          <w:b/>
        </w:rPr>
      </w:pPr>
      <w:r>
        <w:t xml:space="preserve">The Proof of Claim Form must be mailed by </w:t>
      </w:r>
      <w:r>
        <w:rPr>
          <w:b/>
          <w:i/>
        </w:rPr>
        <w:t>July 31</w:t>
      </w:r>
      <w:r w:rsidRPr="00B2641D">
        <w:rPr>
          <w:b/>
          <w:i/>
        </w:rPr>
        <w:t>, 201</w:t>
      </w:r>
      <w:r>
        <w:rPr>
          <w:b/>
          <w:i/>
        </w:rPr>
        <w:t>2</w:t>
      </w:r>
      <w:r>
        <w:t xml:space="preserve"> to the Receiver at: </w:t>
      </w:r>
      <w:r w:rsidRPr="00FC144F">
        <w:rPr>
          <w:b/>
        </w:rPr>
        <w:t>Claim Form</w:t>
      </w:r>
      <w:r>
        <w:rPr>
          <w:b/>
        </w:rPr>
        <w:t>,</w:t>
      </w:r>
    </w:p>
    <w:p w:rsidR="002935F1" w:rsidRDefault="002935F1" w:rsidP="00FC144F">
      <w:pPr>
        <w:widowControl w:val="0"/>
        <w:spacing w:after="0"/>
      </w:pPr>
      <w:r w:rsidRPr="00FC144F">
        <w:rPr>
          <w:b/>
        </w:rPr>
        <w:t>Wayne Klein, Receiver</w:t>
      </w:r>
      <w:r>
        <w:rPr>
          <w:b/>
        </w:rPr>
        <w:t xml:space="preserve">, </w:t>
      </w:r>
      <w:r w:rsidRPr="00FC144F">
        <w:rPr>
          <w:b/>
        </w:rPr>
        <w:t>299 South Main, Suite 1300</w:t>
      </w:r>
      <w:r>
        <w:rPr>
          <w:b/>
        </w:rPr>
        <w:t xml:space="preserve">, </w:t>
      </w:r>
      <w:r w:rsidRPr="00FC144F">
        <w:rPr>
          <w:b/>
        </w:rPr>
        <w:t>Salt Lake City, UT 84111</w:t>
      </w:r>
      <w:r>
        <w:rPr>
          <w:b/>
        </w:rPr>
        <w:t>.</w:t>
      </w:r>
    </w:p>
    <w:sectPr w:rsidR="002935F1" w:rsidSect="001527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3468"/>
    <w:multiLevelType w:val="hybridMultilevel"/>
    <w:tmpl w:val="68562C7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CB03471"/>
    <w:multiLevelType w:val="hybridMultilevel"/>
    <w:tmpl w:val="38D6BA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7B54"/>
    <w:rsid w:val="0000768C"/>
    <w:rsid w:val="0005473D"/>
    <w:rsid w:val="0009054D"/>
    <w:rsid w:val="00095615"/>
    <w:rsid w:val="000960B6"/>
    <w:rsid w:val="000A1E0D"/>
    <w:rsid w:val="00113920"/>
    <w:rsid w:val="001504AE"/>
    <w:rsid w:val="00152792"/>
    <w:rsid w:val="00185415"/>
    <w:rsid w:val="001B5ACB"/>
    <w:rsid w:val="001F3761"/>
    <w:rsid w:val="00214350"/>
    <w:rsid w:val="00222E1C"/>
    <w:rsid w:val="00263FED"/>
    <w:rsid w:val="002935F1"/>
    <w:rsid w:val="002A658F"/>
    <w:rsid w:val="002B7EC2"/>
    <w:rsid w:val="002D665E"/>
    <w:rsid w:val="00300ABB"/>
    <w:rsid w:val="003272CB"/>
    <w:rsid w:val="00351529"/>
    <w:rsid w:val="0036704E"/>
    <w:rsid w:val="00382FDB"/>
    <w:rsid w:val="003932D4"/>
    <w:rsid w:val="003C3BC7"/>
    <w:rsid w:val="004264D6"/>
    <w:rsid w:val="00432ED7"/>
    <w:rsid w:val="00477B54"/>
    <w:rsid w:val="00514469"/>
    <w:rsid w:val="00560DDA"/>
    <w:rsid w:val="005808DC"/>
    <w:rsid w:val="00581B60"/>
    <w:rsid w:val="00590408"/>
    <w:rsid w:val="00595696"/>
    <w:rsid w:val="005D084C"/>
    <w:rsid w:val="005D2D86"/>
    <w:rsid w:val="006352D9"/>
    <w:rsid w:val="0063585A"/>
    <w:rsid w:val="00656041"/>
    <w:rsid w:val="00675E91"/>
    <w:rsid w:val="006A2FC0"/>
    <w:rsid w:val="006D27F4"/>
    <w:rsid w:val="00782676"/>
    <w:rsid w:val="007900F1"/>
    <w:rsid w:val="007A2B21"/>
    <w:rsid w:val="007F3DAF"/>
    <w:rsid w:val="00807EB5"/>
    <w:rsid w:val="008157D7"/>
    <w:rsid w:val="0083245F"/>
    <w:rsid w:val="00844367"/>
    <w:rsid w:val="00850863"/>
    <w:rsid w:val="008527E7"/>
    <w:rsid w:val="0086524F"/>
    <w:rsid w:val="00866518"/>
    <w:rsid w:val="00895E35"/>
    <w:rsid w:val="008E6899"/>
    <w:rsid w:val="00913E41"/>
    <w:rsid w:val="00926D51"/>
    <w:rsid w:val="00950108"/>
    <w:rsid w:val="009873D2"/>
    <w:rsid w:val="009A2C64"/>
    <w:rsid w:val="009E0B59"/>
    <w:rsid w:val="00A13B75"/>
    <w:rsid w:val="00A2789D"/>
    <w:rsid w:val="00A62A96"/>
    <w:rsid w:val="00A90DE7"/>
    <w:rsid w:val="00AA75B0"/>
    <w:rsid w:val="00AF7187"/>
    <w:rsid w:val="00B01353"/>
    <w:rsid w:val="00B077AE"/>
    <w:rsid w:val="00B2641D"/>
    <w:rsid w:val="00B77ED9"/>
    <w:rsid w:val="00B9739A"/>
    <w:rsid w:val="00C72AB0"/>
    <w:rsid w:val="00C907FB"/>
    <w:rsid w:val="00C94E41"/>
    <w:rsid w:val="00CB3A96"/>
    <w:rsid w:val="00CC5D28"/>
    <w:rsid w:val="00CE4333"/>
    <w:rsid w:val="00DE6BD9"/>
    <w:rsid w:val="00E06371"/>
    <w:rsid w:val="00E110D9"/>
    <w:rsid w:val="00E81A8F"/>
    <w:rsid w:val="00E91A96"/>
    <w:rsid w:val="00EE6B71"/>
    <w:rsid w:val="00F011F5"/>
    <w:rsid w:val="00F100AA"/>
    <w:rsid w:val="00F212F8"/>
    <w:rsid w:val="00F22331"/>
    <w:rsid w:val="00F4046E"/>
    <w:rsid w:val="00F46979"/>
    <w:rsid w:val="00F6011B"/>
    <w:rsid w:val="00F66CC9"/>
    <w:rsid w:val="00FA559D"/>
    <w:rsid w:val="00FC144F"/>
    <w:rsid w:val="00FD0DB4"/>
    <w:rsid w:val="00FD5121"/>
    <w:rsid w:val="00FE6C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92"/>
    <w:pPr>
      <w:spacing w:after="240" w:line="276"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5415"/>
    <w:pPr>
      <w:ind w:left="720"/>
      <w:contextualSpacing/>
    </w:pPr>
  </w:style>
  <w:style w:type="character" w:styleId="Hyperlink">
    <w:name w:val="Hyperlink"/>
    <w:basedOn w:val="DefaultParagraphFont"/>
    <w:uiPriority w:val="99"/>
    <w:rsid w:val="00351529"/>
    <w:rPr>
      <w:rFonts w:cs="Times New Roman"/>
      <w:color w:val="0000FF"/>
      <w:u w:val="single"/>
    </w:rPr>
  </w:style>
  <w:style w:type="table" w:styleId="TableGrid">
    <w:name w:val="Table Grid"/>
    <w:basedOn w:val="TableNormal"/>
    <w:uiPriority w:val="99"/>
    <w:rsid w:val="005D2D8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leinuta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1196</Words>
  <Characters>6823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VENTURES/WINSOME INVESTMENT TRUST</dc:title>
  <dc:subject/>
  <dc:creator>WKlein</dc:creator>
  <cp:keywords/>
  <dc:description/>
  <cp:lastModifiedBy>Laura</cp:lastModifiedBy>
  <cp:revision>2</cp:revision>
  <cp:lastPrinted>2012-02-22T18:32:00Z</cp:lastPrinted>
  <dcterms:created xsi:type="dcterms:W3CDTF">2012-05-22T17:29:00Z</dcterms:created>
  <dcterms:modified xsi:type="dcterms:W3CDTF">2012-05-22T17:29:00Z</dcterms:modified>
</cp:coreProperties>
</file>